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F6959D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86E61">
        <w:rPr>
          <w:rFonts w:eastAsia="Times New Roman"/>
          <w:bCs/>
          <w:sz w:val="24"/>
          <w:szCs w:val="24"/>
          <w:lang w:eastAsia="ja-JP"/>
        </w:rPr>
        <w:t xml:space="preserve">    </w:t>
      </w:r>
      <w:r w:rsidR="00BA6E2A" w:rsidRPr="00BA6E2A">
        <w:rPr>
          <w:rFonts w:eastAsia="Times New Roman"/>
          <w:bCs/>
          <w:sz w:val="24"/>
          <w:szCs w:val="24"/>
          <w:lang w:eastAsia="ja-JP"/>
        </w:rPr>
        <w:t>R2-2111182</w:t>
      </w:r>
    </w:p>
    <w:p w14:paraId="4CB31B84" w14:textId="72861820"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sidR="00087673">
        <w:rPr>
          <w:rFonts w:ascii="Arial" w:eastAsia="Times New Roman" w:hAnsi="Arial"/>
          <w:bCs/>
          <w:noProof/>
          <w:szCs w:val="24"/>
          <w:lang w:eastAsia="ja-JP"/>
        </w:rPr>
        <w:t>1</w:t>
      </w:r>
      <w:r w:rsidR="00087673"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00087673">
        <w:rPr>
          <w:rFonts w:ascii="Arial" w:eastAsia="Times New Roman" w:hAnsi="Arial"/>
          <w:bCs/>
          <w:noProof/>
          <w:szCs w:val="24"/>
          <w:lang w:eastAsia="ja-JP"/>
        </w:rPr>
        <w:t>– 12</w:t>
      </w:r>
      <w:r w:rsidR="00087673" w:rsidRPr="00087673">
        <w:rPr>
          <w:rFonts w:ascii="Arial" w:eastAsia="Times New Roman" w:hAnsi="Arial"/>
          <w:bCs/>
          <w:noProof/>
          <w:szCs w:val="24"/>
          <w:vertAlign w:val="superscript"/>
          <w:lang w:eastAsia="ja-JP"/>
        </w:rPr>
        <w:t>th</w:t>
      </w:r>
      <w:r w:rsidR="00087673">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p>
    <w:p w14:paraId="632AC43C" w14:textId="77777777" w:rsidR="00FA2EE3" w:rsidRPr="0053682B" w:rsidRDefault="00FA2EE3" w:rsidP="00D7765D">
      <w:pPr>
        <w:pStyle w:val="3GPPHeader"/>
        <w:spacing w:after="0"/>
        <w:rPr>
          <w:rFonts w:ascii="Arial" w:hAnsi="Arial" w:cs="Arial"/>
          <w:szCs w:val="24"/>
        </w:rPr>
      </w:pPr>
    </w:p>
    <w:p w14:paraId="782CEDA7" w14:textId="0489F0EF"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504082">
        <w:rPr>
          <w:rFonts w:ascii="Arial" w:hAnsi="Arial" w:cs="Arial"/>
          <w:szCs w:val="24"/>
          <w:lang w:val="sv-SE"/>
        </w:rPr>
        <w:t xml:space="preserve">    5.4.1.3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2CDBFF8"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504082">
        <w:rPr>
          <w:b/>
          <w:sz w:val="24"/>
        </w:rPr>
        <w:t xml:space="preserve">Discussion </w:t>
      </w:r>
      <w:bookmarkStart w:id="2" w:name="_GoBack"/>
      <w:bookmarkEnd w:id="2"/>
      <w:r w:rsidR="00504082">
        <w:rPr>
          <w:b/>
          <w:sz w:val="24"/>
        </w:rPr>
        <w:t>on a</w:t>
      </w:r>
      <w:r w:rsidR="00504082" w:rsidRPr="00504082">
        <w:rPr>
          <w:b/>
          <w:sz w:val="24"/>
        </w:rPr>
        <w:t>ssociation between serving cell and measurement object</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747F979" w14:textId="30A0D7D5" w:rsidR="00884187" w:rsidRDefault="00884187" w:rsidP="00884187">
      <w:pPr>
        <w:pStyle w:val="Doc-text2"/>
        <w:tabs>
          <w:tab w:val="left" w:pos="340"/>
        </w:tabs>
        <w:ind w:left="0" w:firstLine="0"/>
        <w:jc w:val="both"/>
      </w:pPr>
      <w:r>
        <w:t xml:space="preserve">RAN5 sent an LS </w:t>
      </w:r>
      <w:r w:rsidR="00736BF2" w:rsidRPr="00736BF2">
        <w:t xml:space="preserve">R2-2109370/ R5-215762 </w:t>
      </w:r>
      <w:r>
        <w:t xml:space="preserve">[1] to </w:t>
      </w:r>
      <w:r w:rsidR="004A2543">
        <w:t xml:space="preserve">RAN2 and asking </w:t>
      </w:r>
      <w:r w:rsidR="00736BF2">
        <w:t xml:space="preserve">questions </w:t>
      </w:r>
      <w:r w:rsidR="004A2543">
        <w:t xml:space="preserve">about the </w:t>
      </w:r>
      <w:r w:rsidR="004A2543" w:rsidRPr="004A2543">
        <w:t>association between serving cell and measurement object</w:t>
      </w:r>
      <w:r w:rsidR="00736BF2">
        <w:t xml:space="preserve">. In this paper, we discusses the answers to RAN5’s questions based on our analysis of current specification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296D7F5A" w:rsidR="00462400" w:rsidRDefault="00D024DD" w:rsidP="00EF6B92">
      <w:pPr>
        <w:pStyle w:val="Doc-text2"/>
        <w:tabs>
          <w:tab w:val="left" w:pos="340"/>
        </w:tabs>
        <w:ind w:left="0" w:firstLine="0"/>
        <w:jc w:val="both"/>
        <w:rPr>
          <w:rFonts w:cs="Arial"/>
          <w:lang w:val="en-GB"/>
        </w:rPr>
      </w:pPr>
      <w:r>
        <w:rPr>
          <w:rFonts w:cs="Arial"/>
          <w:lang w:val="en-GB"/>
        </w:rPr>
        <w:t xml:space="preserve">Based on our understanding, RAN5 is developing test case </w:t>
      </w:r>
      <w:r w:rsidR="00BB7BBA" w:rsidRPr="00BB7BBA">
        <w:rPr>
          <w:rFonts w:cs="Arial"/>
          <w:lang w:val="en-GB"/>
        </w:rPr>
        <w:t>8.1.4.1.9.1.1</w:t>
      </w:r>
      <w:r w:rsidR="00BB7BBA">
        <w:rPr>
          <w:rFonts w:cs="Arial"/>
          <w:lang w:val="en-GB"/>
        </w:rPr>
        <w:t xml:space="preserve">, where is the intention to verify intra-NR handover from PCell to SCell. </w:t>
      </w:r>
      <w:r w:rsidR="00890E2B">
        <w:rPr>
          <w:rFonts w:cs="Arial"/>
          <w:lang w:val="en-GB"/>
        </w:rPr>
        <w:t>The handover is triggered by event A3 while considering SCell as neighbour cell based on the following 38.331 text (as quote in RAN5’s LS)</w:t>
      </w:r>
    </w:p>
    <w:p w14:paraId="0F4490F8" w14:textId="77777777" w:rsidR="00736BF2" w:rsidRDefault="00736BF2" w:rsidP="00890E2B">
      <w:pPr>
        <w:pStyle w:val="Doc-text2"/>
        <w:tabs>
          <w:tab w:val="left" w:pos="340"/>
        </w:tabs>
        <w:ind w:left="0" w:firstLine="0"/>
        <w:jc w:val="both"/>
        <w:rPr>
          <w:b/>
          <w:lang w:val="en-GB"/>
        </w:rPr>
      </w:pPr>
    </w:p>
    <w:p w14:paraId="33434D3C" w14:textId="77777777" w:rsidR="00890E2B" w:rsidRPr="00D024DD" w:rsidRDefault="00890E2B" w:rsidP="00890E2B">
      <w:pPr>
        <w:overflowPunct w:val="0"/>
        <w:autoSpaceDE w:val="0"/>
        <w:autoSpaceDN w:val="0"/>
        <w:adjustRightInd w:val="0"/>
        <w:ind w:left="1418" w:hanging="284"/>
        <w:rPr>
          <w:rFonts w:eastAsia="Times New Roman"/>
          <w:lang w:eastAsia="x-none"/>
        </w:rPr>
      </w:pPr>
      <w:r w:rsidRPr="00D024DD">
        <w:rPr>
          <w:rFonts w:eastAsia="Times New Roman"/>
          <w:lang w:eastAsia="x-none"/>
        </w:rPr>
        <w:t>4&gt;</w:t>
      </w:r>
      <w:r w:rsidRPr="00D024DD">
        <w:rPr>
          <w:rFonts w:eastAsia="Times New Roman"/>
          <w:lang w:eastAsia="x-none"/>
        </w:rPr>
        <w:tab/>
        <w:t xml:space="preserve">if the </w:t>
      </w:r>
      <w:r w:rsidRPr="00D024DD">
        <w:rPr>
          <w:rFonts w:eastAsia="Times New Roman"/>
          <w:i/>
          <w:lang w:eastAsia="x-none"/>
        </w:rPr>
        <w:t>eventA3</w:t>
      </w:r>
      <w:r w:rsidRPr="00D024DD">
        <w:rPr>
          <w:rFonts w:eastAsia="Times New Roman"/>
          <w:lang w:eastAsia="x-none"/>
        </w:rPr>
        <w:t xml:space="preserve"> or </w:t>
      </w:r>
      <w:r w:rsidRPr="00D024DD">
        <w:rPr>
          <w:rFonts w:eastAsia="Times New Roman"/>
          <w:i/>
          <w:lang w:eastAsia="x-none"/>
        </w:rPr>
        <w:t>eventA5</w:t>
      </w:r>
      <w:r w:rsidRPr="00D024DD">
        <w:rPr>
          <w:rFonts w:eastAsia="Times New Roman"/>
          <w:lang w:eastAsia="x-none"/>
        </w:rPr>
        <w:t xml:space="preserve"> is configured in the corresponding </w:t>
      </w:r>
      <w:r w:rsidRPr="00D024DD">
        <w:rPr>
          <w:rFonts w:eastAsia="Times New Roman"/>
          <w:i/>
          <w:lang w:eastAsia="x-none"/>
        </w:rPr>
        <w:t>reportConfig</w:t>
      </w:r>
      <w:r w:rsidRPr="00D024DD">
        <w:rPr>
          <w:rFonts w:eastAsia="Times New Roman"/>
          <w:lang w:eastAsia="x-none"/>
        </w:rPr>
        <w:t>:</w:t>
      </w:r>
    </w:p>
    <w:p w14:paraId="37F6CB3E" w14:textId="77777777" w:rsidR="00890E2B" w:rsidRPr="00D024DD" w:rsidRDefault="00890E2B" w:rsidP="00890E2B">
      <w:pPr>
        <w:overflowPunct w:val="0"/>
        <w:autoSpaceDE w:val="0"/>
        <w:autoSpaceDN w:val="0"/>
        <w:adjustRightInd w:val="0"/>
        <w:ind w:left="1702" w:hanging="284"/>
        <w:rPr>
          <w:rFonts w:eastAsia="Times New Roman"/>
          <w:lang w:eastAsia="x-none"/>
        </w:rPr>
      </w:pPr>
      <w:r w:rsidRPr="00D024DD">
        <w:rPr>
          <w:rFonts w:eastAsia="Times New Roman"/>
          <w:lang w:eastAsia="x-none"/>
        </w:rPr>
        <w:t>5&gt;</w:t>
      </w:r>
      <w:r w:rsidRPr="00D024DD">
        <w:rPr>
          <w:rFonts w:eastAsia="Times New Roman"/>
          <w:lang w:eastAsia="x-none"/>
        </w:rPr>
        <w:tab/>
        <w:t xml:space="preserve">if a </w:t>
      </w:r>
      <w:r w:rsidRPr="00D024DD">
        <w:rPr>
          <w:rFonts w:eastAsia="Times New Roman"/>
          <w:highlight w:val="yellow"/>
          <w:lang w:eastAsia="x-none"/>
        </w:rPr>
        <w:t xml:space="preserve">serving cell is associated with a </w:t>
      </w:r>
      <w:r w:rsidRPr="00D024DD">
        <w:rPr>
          <w:rFonts w:eastAsia="Times New Roman"/>
          <w:i/>
          <w:highlight w:val="yellow"/>
          <w:lang w:eastAsia="x-none"/>
        </w:rPr>
        <w:t>measObjectNR</w:t>
      </w:r>
      <w:r w:rsidRPr="00D024DD">
        <w:rPr>
          <w:rFonts w:eastAsia="Times New Roman"/>
          <w:lang w:eastAsia="x-none"/>
        </w:rPr>
        <w:t xml:space="preserve"> and neighbours are associated with another </w:t>
      </w:r>
      <w:r w:rsidRPr="00D024DD">
        <w:rPr>
          <w:rFonts w:eastAsia="Times New Roman"/>
          <w:i/>
          <w:lang w:eastAsia="x-none"/>
        </w:rPr>
        <w:t>measObjectNR</w:t>
      </w:r>
      <w:r w:rsidRPr="00D024DD">
        <w:rPr>
          <w:rFonts w:eastAsia="Times New Roman"/>
          <w:lang w:eastAsia="x-none"/>
        </w:rPr>
        <w:t xml:space="preserve">, consider any </w:t>
      </w:r>
      <w:r w:rsidRPr="00D024DD">
        <w:rPr>
          <w:rFonts w:eastAsia="Times New Roman"/>
          <w:highlight w:val="yellow"/>
          <w:lang w:eastAsia="x-none"/>
        </w:rPr>
        <w:t xml:space="preserve">serving cell associated with the other </w:t>
      </w:r>
      <w:r w:rsidRPr="00D024DD">
        <w:rPr>
          <w:rFonts w:eastAsia="Times New Roman"/>
          <w:i/>
          <w:highlight w:val="yellow"/>
          <w:lang w:eastAsia="x-none"/>
        </w:rPr>
        <w:t>measObjectNR</w:t>
      </w:r>
      <w:r w:rsidRPr="00D024DD">
        <w:rPr>
          <w:rFonts w:eastAsia="Times New Roman"/>
          <w:lang w:eastAsia="x-none"/>
        </w:rPr>
        <w:t xml:space="preserve"> to be a neighbouring cell as well;</w:t>
      </w:r>
    </w:p>
    <w:p w14:paraId="5E7E5EDC" w14:textId="62A89880" w:rsidR="00D024DD" w:rsidRPr="00890E2B" w:rsidRDefault="00890E2B" w:rsidP="001E63E8">
      <w:pPr>
        <w:pStyle w:val="Doc-text2"/>
        <w:tabs>
          <w:tab w:val="left" w:pos="340"/>
        </w:tabs>
        <w:ind w:left="0" w:firstLine="0"/>
        <w:jc w:val="both"/>
        <w:rPr>
          <w:lang w:val="en-GB"/>
        </w:rPr>
      </w:pPr>
      <w:r>
        <w:rPr>
          <w:lang w:val="en-GB"/>
        </w:rPr>
        <w:t xml:space="preserve">However, currently, the test case does not set </w:t>
      </w:r>
      <w:r w:rsidRPr="00890E2B">
        <w:rPr>
          <w:i/>
          <w:lang w:val="en-GB"/>
        </w:rPr>
        <w:t>servingCellMO</w:t>
      </w:r>
      <w:r>
        <w:rPr>
          <w:lang w:val="en-GB"/>
        </w:rPr>
        <w:t xml:space="preserve"> for the SCell (as neighbour cell) to trigger event A3. There is no consensus on RAN5 whether it is need in this scenario. Therefore, RAN5 ask the following two question on </w:t>
      </w:r>
    </w:p>
    <w:p w14:paraId="3109F570" w14:textId="77777777" w:rsidR="00D024DD" w:rsidRDefault="00D024DD" w:rsidP="001E63E8">
      <w:pPr>
        <w:pStyle w:val="Doc-text2"/>
        <w:tabs>
          <w:tab w:val="left" w:pos="340"/>
        </w:tabs>
        <w:ind w:left="0" w:firstLine="0"/>
        <w:jc w:val="both"/>
        <w:rPr>
          <w:b/>
          <w:lang w:val="en-GB"/>
        </w:rPr>
      </w:pPr>
    </w:p>
    <w:p w14:paraId="2AE2FF0D" w14:textId="77777777" w:rsidR="00D024DD" w:rsidRPr="00D024DD" w:rsidRDefault="00D024DD" w:rsidP="00D024DD">
      <w:pPr>
        <w:pBdr>
          <w:top w:val="single" w:sz="4" w:space="1" w:color="auto"/>
          <w:left w:val="single" w:sz="4" w:space="4" w:color="auto"/>
          <w:bottom w:val="single" w:sz="4" w:space="1" w:color="auto"/>
          <w:right w:val="single" w:sz="4" w:space="4" w:color="auto"/>
        </w:pBdr>
        <w:tabs>
          <w:tab w:val="center" w:pos="4153"/>
          <w:tab w:val="right" w:pos="8306"/>
        </w:tabs>
        <w:spacing w:afterLines="50" w:after="120"/>
        <w:rPr>
          <w:rFonts w:eastAsia="SimSun" w:cs="Arial"/>
          <w:b/>
          <w:lang w:eastAsia="zh-CN"/>
        </w:rPr>
      </w:pPr>
      <w:r w:rsidRPr="00D024DD">
        <w:rPr>
          <w:rFonts w:eastAsia="SimSun" w:cs="Arial" w:hint="eastAsia"/>
          <w:b/>
          <w:u w:val="single"/>
          <w:lang w:eastAsia="zh-CN"/>
        </w:rPr>
        <w:t>Q</w:t>
      </w:r>
      <w:r w:rsidRPr="00D024DD">
        <w:rPr>
          <w:rFonts w:eastAsia="SimSun" w:cs="Arial"/>
          <w:b/>
          <w:u w:val="single"/>
          <w:lang w:eastAsia="zh-CN"/>
        </w:rPr>
        <w:t>uestion 1</w:t>
      </w:r>
      <w:r w:rsidRPr="00D024DD">
        <w:rPr>
          <w:rFonts w:eastAsia="SimSun" w:cs="Arial"/>
          <w:lang w:eastAsia="zh-CN"/>
        </w:rPr>
        <w:t xml:space="preserve">: </w:t>
      </w:r>
      <w:r w:rsidRPr="00D024DD">
        <w:rPr>
          <w:rFonts w:eastAsia="SimSun" w:cs="Arial"/>
          <w:b/>
          <w:lang w:eastAsia="zh-CN"/>
        </w:rPr>
        <w:t xml:space="preserve">Is the indication by </w:t>
      </w:r>
      <w:r w:rsidRPr="00D024DD">
        <w:rPr>
          <w:rFonts w:eastAsia="SimSun" w:cs="Arial"/>
          <w:b/>
          <w:i/>
          <w:iCs/>
          <w:lang w:eastAsia="zh-CN"/>
        </w:rPr>
        <w:t>servingCellMO</w:t>
      </w:r>
      <w:r w:rsidRPr="00D024DD">
        <w:rPr>
          <w:rFonts w:eastAsia="SimSun" w:cs="Arial"/>
          <w:b/>
          <w:lang w:eastAsia="zh-CN"/>
        </w:rPr>
        <w:t xml:space="preserve"> the way to determine the association between serving cell and measurement object mentioned in TS 38.331?</w:t>
      </w:r>
    </w:p>
    <w:p w14:paraId="615F5BB4" w14:textId="77777777" w:rsidR="00D024DD" w:rsidRPr="00D024DD" w:rsidRDefault="00D024DD" w:rsidP="00D024DD">
      <w:pPr>
        <w:pBdr>
          <w:top w:val="single" w:sz="4" w:space="1" w:color="auto"/>
          <w:left w:val="single" w:sz="4" w:space="4" w:color="auto"/>
          <w:bottom w:val="single" w:sz="4" w:space="1" w:color="auto"/>
          <w:right w:val="single" w:sz="4" w:space="4" w:color="auto"/>
        </w:pBdr>
        <w:tabs>
          <w:tab w:val="center" w:pos="4153"/>
          <w:tab w:val="right" w:pos="8306"/>
        </w:tabs>
        <w:spacing w:afterLines="50" w:after="120"/>
        <w:rPr>
          <w:b/>
        </w:rPr>
      </w:pPr>
      <w:r w:rsidRPr="00D024DD">
        <w:rPr>
          <w:rFonts w:eastAsia="SimSun" w:cs="Arial" w:hint="eastAsia"/>
          <w:b/>
          <w:u w:val="single"/>
          <w:lang w:eastAsia="zh-CN"/>
        </w:rPr>
        <w:t>Q</w:t>
      </w:r>
      <w:r w:rsidRPr="00D024DD">
        <w:rPr>
          <w:rFonts w:eastAsia="SimSun" w:cs="Arial"/>
          <w:b/>
          <w:u w:val="single"/>
          <w:lang w:eastAsia="zh-CN"/>
        </w:rPr>
        <w:t>uestion 2</w:t>
      </w:r>
      <w:r w:rsidRPr="00D024DD">
        <w:rPr>
          <w:rFonts w:eastAsia="SimSun" w:cs="Arial"/>
          <w:lang w:eastAsia="zh-CN"/>
        </w:rPr>
        <w:t xml:space="preserve">: </w:t>
      </w:r>
      <w:r w:rsidRPr="00D024DD">
        <w:rPr>
          <w:rFonts w:eastAsia="SimSun" w:cs="Arial"/>
          <w:b/>
          <w:lang w:eastAsia="zh-CN"/>
        </w:rPr>
        <w:t>For event A3/A5 triggering reporting configured on SCC, is it compulsory to configure</w:t>
      </w:r>
      <w:r w:rsidRPr="00D024DD">
        <w:rPr>
          <w:b/>
        </w:rPr>
        <w:t xml:space="preserve"> </w:t>
      </w:r>
      <w:r w:rsidRPr="00D024DD">
        <w:rPr>
          <w:b/>
          <w:i/>
          <w:iCs/>
        </w:rPr>
        <w:t>servingCellMO</w:t>
      </w:r>
      <w:r w:rsidRPr="00D024DD">
        <w:rPr>
          <w:b/>
        </w:rPr>
        <w:t xml:space="preserve"> for SCell in order to enable UE considering SCell to be a neighbouring cell as well?</w:t>
      </w:r>
    </w:p>
    <w:p w14:paraId="0189395F" w14:textId="77777777" w:rsidR="00D024DD" w:rsidRDefault="00D024DD" w:rsidP="001E63E8">
      <w:pPr>
        <w:pStyle w:val="Doc-text2"/>
        <w:tabs>
          <w:tab w:val="left" w:pos="340"/>
        </w:tabs>
        <w:ind w:left="0" w:firstLine="0"/>
        <w:jc w:val="both"/>
        <w:rPr>
          <w:b/>
          <w:lang w:val="en-GB"/>
        </w:rPr>
      </w:pPr>
    </w:p>
    <w:p w14:paraId="78EF553E" w14:textId="5ED96EBF" w:rsidR="00890E2B" w:rsidRPr="00890E2B" w:rsidRDefault="00BA4244" w:rsidP="001E63E8">
      <w:pPr>
        <w:pStyle w:val="Doc-text2"/>
        <w:tabs>
          <w:tab w:val="left" w:pos="340"/>
        </w:tabs>
        <w:ind w:left="0" w:firstLine="0"/>
        <w:jc w:val="both"/>
        <w:rPr>
          <w:lang w:val="en-GB"/>
        </w:rPr>
      </w:pPr>
      <w:r>
        <w:rPr>
          <w:lang w:val="en-GB"/>
        </w:rPr>
        <w:t>F</w:t>
      </w:r>
      <w:r w:rsidR="00890E2B">
        <w:rPr>
          <w:lang w:val="en-GB"/>
        </w:rPr>
        <w:t xml:space="preserve">or Q1, it seems obvious from the discussion in [2] and the following 38.331 </w:t>
      </w:r>
      <w:r w:rsidR="00315F6A">
        <w:rPr>
          <w:lang w:val="en-GB"/>
        </w:rPr>
        <w:t>text on measurement object definition. The</w:t>
      </w:r>
      <w:r w:rsidR="00FB35B1" w:rsidRPr="00FB35B1">
        <w:rPr>
          <w:lang w:val="en-GB"/>
        </w:rPr>
        <w:t xml:space="preserve"> </w:t>
      </w:r>
      <w:r w:rsidR="00FB35B1" w:rsidRPr="00FB35B1">
        <w:rPr>
          <w:i/>
          <w:lang w:val="en-GB"/>
        </w:rPr>
        <w:t>servingCellMO</w:t>
      </w:r>
      <w:r w:rsidR="00FB35B1">
        <w:rPr>
          <w:lang w:val="en-GB"/>
        </w:rPr>
        <w:t xml:space="preserve"> indication is used to determine </w:t>
      </w:r>
      <w:r w:rsidR="00FB35B1" w:rsidRPr="00FB35B1">
        <w:rPr>
          <w:lang w:val="en-GB"/>
        </w:rPr>
        <w:t>the association between serving cell and measurement object</w:t>
      </w:r>
      <w:r w:rsidR="00FB35B1">
        <w:rPr>
          <w:lang w:val="en-GB"/>
        </w:rPr>
        <w:t xml:space="preserve"> in TS 38.331.</w:t>
      </w:r>
    </w:p>
    <w:p w14:paraId="547A2C38" w14:textId="77777777" w:rsidR="00736BF2" w:rsidRDefault="00736BF2" w:rsidP="001E63E8">
      <w:pPr>
        <w:pStyle w:val="Doc-text2"/>
        <w:tabs>
          <w:tab w:val="left" w:pos="340"/>
        </w:tabs>
        <w:ind w:left="0" w:firstLine="0"/>
        <w:jc w:val="both"/>
        <w:rPr>
          <w:b/>
          <w:lang w:val="en-GB"/>
        </w:rPr>
      </w:pPr>
    </w:p>
    <w:p w14:paraId="5681DE56" w14:textId="77777777" w:rsidR="00315F6A" w:rsidRPr="009C7017" w:rsidRDefault="00315F6A" w:rsidP="00315F6A">
      <w:pPr>
        <w:pStyle w:val="B1"/>
      </w:pPr>
      <w:r w:rsidRPr="009C7017">
        <w:rPr>
          <w:b/>
        </w:rPr>
        <w:t>1.</w:t>
      </w:r>
      <w:r w:rsidRPr="009C7017">
        <w:rPr>
          <w:b/>
        </w:rPr>
        <w:tab/>
        <w:t>Measurement objects:</w:t>
      </w:r>
      <w:r w:rsidRPr="009C7017">
        <w:t xml:space="preserve"> A list of objects on which the UE shall perform the measurements.</w:t>
      </w:r>
    </w:p>
    <w:p w14:paraId="363218D5" w14:textId="77777777" w:rsidR="00315F6A" w:rsidRPr="009C7017" w:rsidRDefault="00315F6A" w:rsidP="00315F6A">
      <w:pPr>
        <w:pStyle w:val="B2"/>
      </w:pPr>
      <w:r w:rsidRPr="009C7017">
        <w:t>-</w:t>
      </w:r>
      <w:r w:rsidRPr="009C7017">
        <w:tab/>
      </w:r>
      <w:r w:rsidRPr="00FB35B1">
        <w:t xml:space="preserve">The </w:t>
      </w:r>
      <w:r w:rsidRPr="00FB35B1">
        <w:rPr>
          <w:i/>
        </w:rPr>
        <w:t>measObjectId</w:t>
      </w:r>
      <w:r w:rsidRPr="00FB35B1">
        <w:t xml:space="preserve"> of the MO which corresponds to each serving cell is indicated by</w:t>
      </w:r>
      <w:r w:rsidRPr="00FB35B1">
        <w:rPr>
          <w:i/>
        </w:rPr>
        <w:t xml:space="preserve"> servingCellMO </w:t>
      </w:r>
      <w:r w:rsidRPr="00FB35B1">
        <w:t>within the serving cell configuration.</w:t>
      </w:r>
    </w:p>
    <w:p w14:paraId="6DFF4E09" w14:textId="77777777" w:rsidR="00736BF2" w:rsidRPr="001121F3" w:rsidRDefault="00736BF2" w:rsidP="001E63E8">
      <w:pPr>
        <w:pStyle w:val="Doc-text2"/>
        <w:tabs>
          <w:tab w:val="left" w:pos="340"/>
        </w:tabs>
        <w:ind w:left="0" w:firstLine="0"/>
        <w:jc w:val="both"/>
        <w:rPr>
          <w:b/>
          <w:lang w:val="en-GB"/>
        </w:rPr>
      </w:pPr>
    </w:p>
    <w:p w14:paraId="33D25A88" w14:textId="67F20889" w:rsidR="00331EE4" w:rsidRDefault="00556292" w:rsidP="00B125D4">
      <w:pPr>
        <w:pStyle w:val="Doc-text2"/>
        <w:tabs>
          <w:tab w:val="left" w:pos="340"/>
        </w:tabs>
        <w:ind w:left="0" w:firstLine="0"/>
        <w:jc w:val="both"/>
        <w:rPr>
          <w:b/>
        </w:rPr>
      </w:pPr>
      <w:r w:rsidRPr="00B9627E">
        <w:rPr>
          <w:b/>
        </w:rPr>
        <w:t>Proposal</w:t>
      </w:r>
      <w:r w:rsidR="00535960">
        <w:rPr>
          <w:b/>
        </w:rPr>
        <w:t xml:space="preserve"> 1</w:t>
      </w:r>
      <w:r>
        <w:rPr>
          <w:b/>
        </w:rPr>
        <w:t xml:space="preserve">: </w:t>
      </w:r>
      <w:r w:rsidR="00FB35B1">
        <w:rPr>
          <w:b/>
        </w:rPr>
        <w:t>Reply R</w:t>
      </w:r>
      <w:r w:rsidR="004E1194">
        <w:rPr>
          <w:b/>
        </w:rPr>
        <w:t>AN</w:t>
      </w:r>
      <w:r w:rsidR="00FB35B1">
        <w:rPr>
          <w:b/>
        </w:rPr>
        <w:t xml:space="preserve">5 that the </w:t>
      </w:r>
      <w:r w:rsidR="00FB35B1" w:rsidRPr="00FB35B1">
        <w:rPr>
          <w:b/>
          <w:i/>
        </w:rPr>
        <w:t>servingCellMO</w:t>
      </w:r>
      <w:r w:rsidR="00FB35B1" w:rsidRPr="00FB35B1">
        <w:rPr>
          <w:b/>
        </w:rPr>
        <w:t xml:space="preserve"> indication is used to determine the association between serving cell and measurement object in TS 38.331</w:t>
      </w:r>
      <w:r w:rsidR="00CC5451">
        <w:rPr>
          <w:b/>
        </w:rPr>
        <w:t>.</w:t>
      </w:r>
    </w:p>
    <w:p w14:paraId="191424D1" w14:textId="77777777" w:rsidR="000251B2" w:rsidRDefault="000251B2" w:rsidP="00EF20EF">
      <w:pPr>
        <w:pStyle w:val="Doc-text2"/>
        <w:tabs>
          <w:tab w:val="left" w:pos="340"/>
        </w:tabs>
        <w:ind w:left="0" w:firstLine="0"/>
        <w:jc w:val="both"/>
      </w:pPr>
    </w:p>
    <w:p w14:paraId="6A15DC98" w14:textId="2525812C" w:rsidR="00BA4244" w:rsidRDefault="00BA4244" w:rsidP="00EF20EF">
      <w:pPr>
        <w:pStyle w:val="Doc-text2"/>
        <w:tabs>
          <w:tab w:val="left" w:pos="340"/>
        </w:tabs>
        <w:ind w:left="0" w:firstLine="0"/>
        <w:jc w:val="both"/>
      </w:pPr>
      <w:r>
        <w:t xml:space="preserve">For Q2, </w:t>
      </w:r>
      <w:r w:rsidR="0010323E">
        <w:t xml:space="preserve">it may require some more discussion. If </w:t>
      </w:r>
      <w:r w:rsidR="0010323E" w:rsidRPr="00CC5451">
        <w:rPr>
          <w:i/>
        </w:rPr>
        <w:t>servingCellMO</w:t>
      </w:r>
      <w:r w:rsidR="0010323E">
        <w:t xml:space="preserve"> is not configured, the UE is not required to report serving cell measurement to the </w:t>
      </w:r>
      <w:r w:rsidR="00CC5451">
        <w:t xml:space="preserve">network. Whether the UE still perform measurement on this serving cell is not clear. And it should be up to UE implementation in this case. So, we tend to think </w:t>
      </w:r>
      <w:r w:rsidR="00CC5451" w:rsidRPr="00CC5451">
        <w:rPr>
          <w:i/>
        </w:rPr>
        <w:t>servingCellMO</w:t>
      </w:r>
      <w:r w:rsidR="00CC5451">
        <w:t xml:space="preserve"> configuration is needed to trigger event A3 while considering SCell as neighbor cell. Furthermore, it could be found in </w:t>
      </w:r>
      <w:r w:rsidR="00CC5451" w:rsidRPr="00CC5451">
        <w:rPr>
          <w:highlight w:val="yellow"/>
        </w:rPr>
        <w:t>highlight text</w:t>
      </w:r>
      <w:r w:rsidR="00CC5451">
        <w:t xml:space="preserve"> </w:t>
      </w:r>
      <w:r w:rsidR="004E1194">
        <w:t>above (also from RAN5 LS</w:t>
      </w:r>
      <w:r w:rsidR="00CC5451">
        <w:t>) that the associate between serving cell and measurement</w:t>
      </w:r>
      <w:r w:rsidR="008823F7">
        <w:t xml:space="preserve"> object is needed in event A3 </w:t>
      </w:r>
      <w:r w:rsidR="004E1194">
        <w:t>triggering</w:t>
      </w:r>
      <w:r w:rsidR="008823F7">
        <w:t xml:space="preserve">.  </w:t>
      </w:r>
    </w:p>
    <w:p w14:paraId="37700687" w14:textId="77777777" w:rsidR="0010323E" w:rsidRDefault="0010323E" w:rsidP="00EF20EF">
      <w:pPr>
        <w:pStyle w:val="Doc-text2"/>
        <w:tabs>
          <w:tab w:val="left" w:pos="340"/>
        </w:tabs>
        <w:ind w:left="0" w:firstLine="0"/>
        <w:jc w:val="both"/>
      </w:pPr>
    </w:p>
    <w:p w14:paraId="0438A7CB" w14:textId="11168995" w:rsidR="00FB35B1" w:rsidRDefault="008823F7" w:rsidP="00EF20EF">
      <w:pPr>
        <w:pStyle w:val="Doc-text2"/>
        <w:tabs>
          <w:tab w:val="left" w:pos="340"/>
        </w:tabs>
        <w:ind w:left="0" w:firstLine="0"/>
        <w:jc w:val="both"/>
      </w:pPr>
      <w:r>
        <w:t>From</w:t>
      </w:r>
      <w:r w:rsidR="00BA4244">
        <w:t xml:space="preserve"> test case perspective,</w:t>
      </w:r>
      <w:r w:rsidR="0010323E">
        <w:t xml:space="preserve"> we think </w:t>
      </w:r>
      <w:r>
        <w:t xml:space="preserve">it is reasonable to mandate the </w:t>
      </w:r>
      <w:r w:rsidRPr="008823F7">
        <w:rPr>
          <w:i/>
        </w:rPr>
        <w:t>servingCellMO</w:t>
      </w:r>
      <w:r>
        <w:t xml:space="preserve"> for the scenario mentioned by RAN5.</w:t>
      </w:r>
      <w:r w:rsidR="004E1194">
        <w:t xml:space="preserve"> </w:t>
      </w:r>
      <w:r w:rsidR="008643D0">
        <w:t>Otherwise, the test case may test the part that belongs to UE implementation.</w:t>
      </w:r>
    </w:p>
    <w:p w14:paraId="0C89D7B6" w14:textId="77777777" w:rsidR="00FB35B1" w:rsidRDefault="00FB35B1" w:rsidP="00EF20EF">
      <w:pPr>
        <w:pStyle w:val="Doc-text2"/>
        <w:tabs>
          <w:tab w:val="left" w:pos="340"/>
        </w:tabs>
        <w:ind w:left="0" w:firstLine="0"/>
        <w:jc w:val="both"/>
      </w:pPr>
    </w:p>
    <w:p w14:paraId="5940F807" w14:textId="5B063CD3" w:rsidR="00D63EF1" w:rsidRDefault="00D63EF1" w:rsidP="00D63EF1">
      <w:pPr>
        <w:pStyle w:val="Doc-text2"/>
        <w:tabs>
          <w:tab w:val="left" w:pos="340"/>
        </w:tabs>
        <w:ind w:left="0" w:firstLine="0"/>
        <w:jc w:val="both"/>
        <w:rPr>
          <w:b/>
        </w:rPr>
      </w:pPr>
      <w:r w:rsidRPr="00B9627E">
        <w:rPr>
          <w:b/>
        </w:rPr>
        <w:t>Proposal</w:t>
      </w:r>
      <w:r>
        <w:rPr>
          <w:b/>
        </w:rPr>
        <w:t xml:space="preserve"> 2: </w:t>
      </w:r>
      <w:r w:rsidR="004E1194">
        <w:rPr>
          <w:b/>
        </w:rPr>
        <w:t xml:space="preserve">Reply RAN5 that, for event </w:t>
      </w:r>
      <w:r w:rsidR="004E1194" w:rsidRPr="004E1194">
        <w:rPr>
          <w:b/>
        </w:rPr>
        <w:t>A3/A5 triggering reporting configured on SCC</w:t>
      </w:r>
      <w:r w:rsidR="004E1194">
        <w:rPr>
          <w:b/>
        </w:rPr>
        <w:t>, it is</w:t>
      </w:r>
      <w:r w:rsidR="004E1194" w:rsidRPr="004E1194">
        <w:rPr>
          <w:b/>
        </w:rPr>
        <w:t xml:space="preserve"> compulsory to configure </w:t>
      </w:r>
      <w:r w:rsidR="004E1194" w:rsidRPr="004E1194">
        <w:rPr>
          <w:b/>
          <w:i/>
        </w:rPr>
        <w:t>servingCellMO</w:t>
      </w:r>
      <w:r w:rsidR="004E1194" w:rsidRPr="004E1194">
        <w:rPr>
          <w:b/>
        </w:rPr>
        <w:t xml:space="preserve"> for SCell in order to enable UE considering SCell to be a neighbouring cell</w:t>
      </w:r>
      <w:r w:rsidR="004E1194">
        <w:rPr>
          <w:b/>
        </w:rPr>
        <w:t>.</w:t>
      </w:r>
    </w:p>
    <w:p w14:paraId="02EEB452" w14:textId="77777777" w:rsidR="000251B2" w:rsidRDefault="000251B2" w:rsidP="00EF20EF">
      <w:pPr>
        <w:pStyle w:val="Doc-text2"/>
        <w:tabs>
          <w:tab w:val="left" w:pos="340"/>
        </w:tabs>
        <w:ind w:left="0" w:firstLine="0"/>
        <w:jc w:val="both"/>
      </w:pPr>
    </w:p>
    <w:p w14:paraId="6BF36F9B" w14:textId="24BDD5D0" w:rsidR="00536413" w:rsidRDefault="00536413" w:rsidP="00EF20EF">
      <w:pPr>
        <w:pStyle w:val="Doc-text2"/>
        <w:tabs>
          <w:tab w:val="left" w:pos="340"/>
        </w:tabs>
        <w:ind w:left="0" w:firstLine="0"/>
        <w:jc w:val="both"/>
      </w:pPr>
      <w:r>
        <w:t>The draft reply LS based on P1 and P2 is put in Annex</w:t>
      </w:r>
      <w:r w:rsidR="001D3A30">
        <w:t xml:space="preserve"> for reference</w:t>
      </w:r>
      <w:r>
        <w:t>.</w:t>
      </w: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18BA06D0" w14:textId="77777777" w:rsidR="008643D0" w:rsidRDefault="008643D0" w:rsidP="008643D0">
      <w:pPr>
        <w:pStyle w:val="Doc-text2"/>
        <w:tabs>
          <w:tab w:val="left" w:pos="340"/>
        </w:tabs>
        <w:ind w:left="0" w:firstLine="0"/>
        <w:jc w:val="both"/>
        <w:rPr>
          <w:b/>
        </w:rPr>
      </w:pPr>
      <w:r w:rsidRPr="00B9627E">
        <w:rPr>
          <w:b/>
        </w:rPr>
        <w:t>Proposal</w:t>
      </w:r>
      <w:r>
        <w:rPr>
          <w:b/>
        </w:rPr>
        <w:t xml:space="preserve"> 1: Reply RAN5 that the </w:t>
      </w:r>
      <w:r w:rsidRPr="00FB35B1">
        <w:rPr>
          <w:b/>
          <w:i/>
        </w:rPr>
        <w:t>servingCellMO</w:t>
      </w:r>
      <w:r w:rsidRPr="00FB35B1">
        <w:rPr>
          <w:b/>
        </w:rPr>
        <w:t xml:space="preserve"> indication is used to determine the association between serving cell and measurement object in TS 38.331</w:t>
      </w:r>
      <w:r>
        <w:rPr>
          <w:b/>
        </w:rPr>
        <w:t>.</w:t>
      </w:r>
    </w:p>
    <w:p w14:paraId="4EDB8D3F" w14:textId="77777777" w:rsidR="006215FC" w:rsidRDefault="006215FC" w:rsidP="006215FC">
      <w:pPr>
        <w:pStyle w:val="Doc-text2"/>
        <w:tabs>
          <w:tab w:val="left" w:pos="340"/>
        </w:tabs>
        <w:ind w:left="0" w:firstLine="0"/>
        <w:jc w:val="both"/>
        <w:rPr>
          <w:b/>
        </w:rPr>
      </w:pPr>
    </w:p>
    <w:p w14:paraId="6F3487F2" w14:textId="77777777" w:rsidR="008643D0" w:rsidRDefault="008643D0" w:rsidP="008643D0">
      <w:pPr>
        <w:pStyle w:val="Doc-text2"/>
        <w:tabs>
          <w:tab w:val="left" w:pos="340"/>
        </w:tabs>
        <w:ind w:left="0" w:firstLine="0"/>
        <w:jc w:val="both"/>
        <w:rPr>
          <w:b/>
        </w:rPr>
      </w:pPr>
      <w:r w:rsidRPr="00B9627E">
        <w:rPr>
          <w:b/>
        </w:rPr>
        <w:t>Proposal</w:t>
      </w:r>
      <w:r>
        <w:rPr>
          <w:b/>
        </w:rPr>
        <w:t xml:space="preserve"> 2: Reply RAN5 that, for event </w:t>
      </w:r>
      <w:r w:rsidRPr="004E1194">
        <w:rPr>
          <w:b/>
        </w:rPr>
        <w:t>A3/A5 triggering reporting configured on SCC</w:t>
      </w:r>
      <w:r>
        <w:rPr>
          <w:b/>
        </w:rPr>
        <w:t>, it is</w:t>
      </w:r>
      <w:r w:rsidRPr="004E1194">
        <w:rPr>
          <w:b/>
        </w:rPr>
        <w:t xml:space="preserve"> compulsory to configure </w:t>
      </w:r>
      <w:r w:rsidRPr="004E1194">
        <w:rPr>
          <w:b/>
          <w:i/>
        </w:rPr>
        <w:t>servingCellMO</w:t>
      </w:r>
      <w:r w:rsidRPr="004E1194">
        <w:rPr>
          <w:b/>
        </w:rPr>
        <w:t xml:space="preserve"> for SCell in order to enable UE considering SCell to be a neighbouring cell</w:t>
      </w:r>
      <w:r>
        <w:rPr>
          <w:b/>
        </w:rPr>
        <w:t>.</w:t>
      </w:r>
    </w:p>
    <w:p w14:paraId="1A029241"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1846262E"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4A2543" w:rsidRPr="004A2543">
        <w:rPr>
          <w:rFonts w:ascii="Arial" w:hAnsi="Arial" w:cs="Arial"/>
          <w:lang w:eastAsia="ko-KR"/>
        </w:rPr>
        <w:t>R2-2109370</w:t>
      </w:r>
      <w:r w:rsidR="004A2543">
        <w:rPr>
          <w:rFonts w:ascii="Arial" w:hAnsi="Arial" w:cs="Arial"/>
          <w:lang w:eastAsia="ko-KR"/>
        </w:rPr>
        <w:t>/</w:t>
      </w:r>
      <w:r w:rsidR="004A2543" w:rsidRPr="004A2543">
        <w:t xml:space="preserve"> </w:t>
      </w:r>
      <w:r w:rsidR="004A2543" w:rsidRPr="004A2543">
        <w:rPr>
          <w:rFonts w:ascii="Arial" w:hAnsi="Arial" w:cs="Arial"/>
          <w:lang w:eastAsia="ko-KR"/>
        </w:rPr>
        <w:t>R5-215762</w:t>
      </w:r>
      <w:r w:rsidR="004A2543">
        <w:rPr>
          <w:rFonts w:ascii="Arial" w:hAnsi="Arial" w:cs="Arial"/>
          <w:lang w:eastAsia="ko-KR"/>
        </w:rPr>
        <w:t>, “</w:t>
      </w:r>
      <w:r w:rsidR="004A2543" w:rsidRPr="004A2543">
        <w:rPr>
          <w:rFonts w:ascii="Arial" w:hAnsi="Arial" w:cs="Arial"/>
          <w:lang w:eastAsia="ko-KR"/>
        </w:rPr>
        <w:t>Association between serving cell and measurement object</w:t>
      </w:r>
      <w:r w:rsidR="004A2543">
        <w:rPr>
          <w:rFonts w:ascii="Arial" w:hAnsi="Arial" w:cs="Arial"/>
          <w:lang w:eastAsia="ko-KR"/>
        </w:rPr>
        <w:t>”, RAN5</w:t>
      </w:r>
    </w:p>
    <w:p w14:paraId="410B819F" w14:textId="0DA45B00" w:rsidR="00CA4282" w:rsidRDefault="00315F6A">
      <w:pPr>
        <w:spacing w:after="0"/>
        <w:rPr>
          <w:rFonts w:ascii="Arial" w:hAnsi="Arial" w:cs="Arial"/>
          <w:lang w:eastAsia="ko-KR"/>
        </w:rPr>
      </w:pPr>
      <w:r>
        <w:rPr>
          <w:rFonts w:ascii="Arial" w:hAnsi="Arial" w:cs="Arial"/>
          <w:lang w:eastAsia="ko-KR"/>
        </w:rPr>
        <w:t>[2] R2-1808081, “Frequency of the MO”, Huawei</w:t>
      </w:r>
    </w:p>
    <w:p w14:paraId="352EAD76" w14:textId="79462125" w:rsidR="00452A01" w:rsidRDefault="00452A01">
      <w:pPr>
        <w:spacing w:after="0"/>
        <w:rPr>
          <w:rFonts w:ascii="Arial" w:hAnsi="Arial" w:cs="Arial"/>
          <w:lang w:eastAsia="ko-KR"/>
        </w:rPr>
      </w:pPr>
      <w:r>
        <w:rPr>
          <w:rFonts w:ascii="Arial" w:hAnsi="Arial" w:cs="Arial"/>
          <w:lang w:eastAsia="ko-KR"/>
        </w:rPr>
        <w:br w:type="page"/>
      </w:r>
    </w:p>
    <w:p w14:paraId="12728C3E" w14:textId="77777777" w:rsidR="00452A01" w:rsidRDefault="00452A01">
      <w:pPr>
        <w:spacing w:after="0"/>
        <w:rPr>
          <w:rFonts w:ascii="Arial" w:hAnsi="Arial" w:cs="Arial"/>
          <w:lang w:eastAsia="ko-KR"/>
        </w:rPr>
      </w:pPr>
    </w:p>
    <w:p w14:paraId="5AC151D2" w14:textId="7988342A" w:rsidR="00452A01" w:rsidRDefault="00452A01" w:rsidP="00452A01">
      <w:pPr>
        <w:pStyle w:val="Heading1"/>
        <w:rPr>
          <w:lang w:eastAsia="ko-KR"/>
        </w:rPr>
      </w:pPr>
      <w:r>
        <w:rPr>
          <w:lang w:eastAsia="ko-KR"/>
        </w:rPr>
        <w:t xml:space="preserve">Annex </w:t>
      </w:r>
    </w:p>
    <w:p w14:paraId="35C29482" w14:textId="77777777" w:rsidR="001D3A30" w:rsidRPr="00BE6EC6" w:rsidRDefault="001D3A30" w:rsidP="001D3A30">
      <w:pPr>
        <w:spacing w:after="120"/>
        <w:rPr>
          <w:rFonts w:ascii="Arial" w:hAnsi="Arial" w:cs="Arial"/>
          <w:b/>
        </w:rPr>
      </w:pPr>
      <w:r w:rsidRPr="00BE6EC6">
        <w:rPr>
          <w:rFonts w:ascii="Arial" w:hAnsi="Arial" w:cs="Arial"/>
          <w:b/>
        </w:rPr>
        <w:t>1. Overall Description</w:t>
      </w:r>
    </w:p>
    <w:p w14:paraId="04C80CEE" w14:textId="77777777" w:rsidR="001D3A30" w:rsidRDefault="001D3A30" w:rsidP="001D3A30">
      <w:pPr>
        <w:jc w:val="both"/>
        <w:rPr>
          <w:rFonts w:ascii="Arial" w:hAnsi="Arial" w:cs="Arial"/>
          <w:lang w:val="en-US" w:eastAsia="sv-SE"/>
        </w:rPr>
      </w:pPr>
      <w:r w:rsidRPr="00BE6EC6">
        <w:rPr>
          <w:rFonts w:ascii="Arial" w:hAnsi="Arial" w:cs="Arial"/>
        </w:rPr>
        <w:t>RAN2 would like to thank RAN</w:t>
      </w:r>
      <w:r>
        <w:rPr>
          <w:rFonts w:ascii="Arial" w:hAnsi="Arial" w:cs="Arial"/>
          <w:lang w:eastAsia="zh-CN"/>
        </w:rPr>
        <w:t>5</w:t>
      </w:r>
      <w:r w:rsidRPr="00BE6EC6">
        <w:rPr>
          <w:rFonts w:ascii="Arial" w:hAnsi="Arial" w:cs="Arial"/>
        </w:rPr>
        <w:t xml:space="preserve"> for the LS on </w:t>
      </w:r>
      <w:r>
        <w:rPr>
          <w:rFonts w:ascii="Arial" w:hAnsi="Arial" w:cs="Arial"/>
          <w:lang w:eastAsia="zh-CN"/>
        </w:rPr>
        <w:t>a</w:t>
      </w:r>
      <w:r w:rsidRPr="00A705EE">
        <w:rPr>
          <w:rFonts w:ascii="Arial" w:hAnsi="Arial" w:cs="Arial"/>
          <w:lang w:eastAsia="zh-CN"/>
        </w:rPr>
        <w:t xml:space="preserve">ssociation between serving cell and measurement object </w:t>
      </w:r>
      <w:r w:rsidRPr="00BE6EC6">
        <w:rPr>
          <w:rFonts w:ascii="Arial" w:hAnsi="Arial" w:cs="Arial"/>
          <w:lang w:eastAsia="zh-CN"/>
        </w:rPr>
        <w:t>[1]</w:t>
      </w:r>
      <w:r w:rsidRPr="00BE6EC6">
        <w:rPr>
          <w:rFonts w:ascii="Arial" w:hAnsi="Arial" w:cs="Arial"/>
        </w:rPr>
        <w:t>. RAN2 has</w:t>
      </w:r>
      <w:r>
        <w:rPr>
          <w:rFonts w:ascii="Arial" w:hAnsi="Arial" w:cs="Arial"/>
        </w:rPr>
        <w:t xml:space="preserve"> discussed this issue and would like to provide the following feedback to RAN5’s questions.</w:t>
      </w:r>
    </w:p>
    <w:p w14:paraId="09A4C7CD" w14:textId="77777777" w:rsidR="001D3A30" w:rsidRDefault="001D3A30" w:rsidP="001D3A30">
      <w:pPr>
        <w:pStyle w:val="Header"/>
        <w:spacing w:afterLines="50" w:after="120"/>
        <w:rPr>
          <w:rFonts w:eastAsiaTheme="minorEastAsia" w:cs="Arial"/>
          <w:b w:val="0"/>
          <w:lang w:eastAsia="zh-CN"/>
        </w:rPr>
      </w:pPr>
      <w:r w:rsidRPr="00C36BDB">
        <w:rPr>
          <w:rFonts w:eastAsiaTheme="minorEastAsia" w:cs="Arial" w:hint="eastAsia"/>
          <w:u w:val="single"/>
          <w:lang w:eastAsia="zh-CN"/>
        </w:rPr>
        <w:t>Q</w:t>
      </w:r>
      <w:r w:rsidRPr="00C36BDB">
        <w:rPr>
          <w:rFonts w:eastAsiaTheme="minorEastAsia" w:cs="Arial"/>
          <w:u w:val="single"/>
          <w:lang w:eastAsia="zh-CN"/>
        </w:rPr>
        <w:t>uestion 1</w:t>
      </w:r>
      <w:r>
        <w:rPr>
          <w:rFonts w:eastAsiaTheme="minorEastAsia" w:cs="Arial"/>
          <w:lang w:eastAsia="zh-CN"/>
        </w:rPr>
        <w:t xml:space="preserve">: </w:t>
      </w:r>
      <w:r w:rsidRPr="00C36BDB">
        <w:rPr>
          <w:rFonts w:eastAsiaTheme="minorEastAsia" w:cs="Arial"/>
          <w:lang w:eastAsia="zh-CN"/>
        </w:rPr>
        <w:t xml:space="preserve">Is the indication by </w:t>
      </w:r>
      <w:r w:rsidRPr="00B53FB2">
        <w:rPr>
          <w:rFonts w:eastAsiaTheme="minorEastAsia" w:cs="Arial"/>
          <w:i/>
          <w:iCs/>
          <w:lang w:eastAsia="zh-CN"/>
        </w:rPr>
        <w:t>servingCellMO</w:t>
      </w:r>
      <w:r w:rsidRPr="00C36BDB">
        <w:rPr>
          <w:rFonts w:eastAsiaTheme="minorEastAsia" w:cs="Arial"/>
          <w:lang w:eastAsia="zh-CN"/>
        </w:rPr>
        <w:t xml:space="preserve"> the way to determine the association between serving cell and measurement object mentioned in </w:t>
      </w:r>
      <w:r>
        <w:rPr>
          <w:rFonts w:eastAsiaTheme="minorEastAsia" w:cs="Arial"/>
          <w:lang w:eastAsia="zh-CN"/>
        </w:rPr>
        <w:t xml:space="preserve">TS </w:t>
      </w:r>
      <w:r w:rsidRPr="00C36BDB">
        <w:rPr>
          <w:rFonts w:eastAsiaTheme="minorEastAsia" w:cs="Arial"/>
          <w:lang w:eastAsia="zh-CN"/>
        </w:rPr>
        <w:t>38.331?</w:t>
      </w:r>
    </w:p>
    <w:p w14:paraId="1191C5F0" w14:textId="77777777" w:rsidR="001D3A30" w:rsidRDefault="001D3A30" w:rsidP="001D3A30">
      <w:pPr>
        <w:pStyle w:val="Header"/>
        <w:jc w:val="both"/>
        <w:rPr>
          <w:rFonts w:cs="Arial"/>
          <w:lang w:val="en-US"/>
        </w:rPr>
      </w:pPr>
      <w:r>
        <w:rPr>
          <w:rFonts w:cs="Arial"/>
          <w:lang w:val="en-US"/>
        </w:rPr>
        <w:t>Answer: Yes. T</w:t>
      </w:r>
      <w:r w:rsidRPr="007A1350">
        <w:rPr>
          <w:rFonts w:cs="Arial"/>
          <w:lang w:val="en-US"/>
        </w:rPr>
        <w:t xml:space="preserve">he </w:t>
      </w:r>
      <w:r w:rsidRPr="007A1350">
        <w:rPr>
          <w:rFonts w:cs="Arial"/>
          <w:i/>
          <w:lang w:val="en-US"/>
        </w:rPr>
        <w:t>servingCellMO</w:t>
      </w:r>
      <w:r w:rsidRPr="007A1350">
        <w:rPr>
          <w:rFonts w:cs="Arial"/>
          <w:lang w:val="en-US"/>
        </w:rPr>
        <w:t xml:space="preserve"> indication is used to determine the association between serving cell and measurement object in TS 38.331</w:t>
      </w:r>
      <w:r>
        <w:rPr>
          <w:rFonts w:cs="Arial"/>
          <w:lang w:val="en-US"/>
        </w:rPr>
        <w:t>.</w:t>
      </w:r>
    </w:p>
    <w:p w14:paraId="20634016" w14:textId="77777777" w:rsidR="001D3A30" w:rsidRDefault="001D3A30" w:rsidP="001D3A30">
      <w:pPr>
        <w:pStyle w:val="Header"/>
        <w:spacing w:afterLines="50" w:after="120"/>
        <w:rPr>
          <w:rFonts w:eastAsiaTheme="minorEastAsia" w:cs="Arial"/>
          <w:b w:val="0"/>
          <w:lang w:eastAsia="zh-CN"/>
        </w:rPr>
      </w:pPr>
    </w:p>
    <w:p w14:paraId="1A9E52CD" w14:textId="77777777" w:rsidR="001D3A30" w:rsidRDefault="001D3A30" w:rsidP="001D3A30">
      <w:pPr>
        <w:pStyle w:val="Header"/>
        <w:spacing w:afterLines="50" w:after="120"/>
        <w:rPr>
          <w:b w:val="0"/>
        </w:rPr>
      </w:pPr>
      <w:r w:rsidRPr="00C36BDB">
        <w:rPr>
          <w:rFonts w:eastAsiaTheme="minorEastAsia" w:cs="Arial" w:hint="eastAsia"/>
          <w:u w:val="single"/>
          <w:lang w:eastAsia="zh-CN"/>
        </w:rPr>
        <w:t>Q</w:t>
      </w:r>
      <w:r w:rsidRPr="00C36BDB">
        <w:rPr>
          <w:rFonts w:eastAsiaTheme="minorEastAsia" w:cs="Arial"/>
          <w:u w:val="single"/>
          <w:lang w:eastAsia="zh-CN"/>
        </w:rPr>
        <w:t xml:space="preserve">uestion </w:t>
      </w:r>
      <w:r>
        <w:rPr>
          <w:rFonts w:eastAsiaTheme="minorEastAsia" w:cs="Arial"/>
          <w:u w:val="single"/>
          <w:lang w:eastAsia="zh-CN"/>
        </w:rPr>
        <w:t>2</w:t>
      </w:r>
      <w:r>
        <w:rPr>
          <w:rFonts w:eastAsiaTheme="minorEastAsia" w:cs="Arial"/>
          <w:lang w:eastAsia="zh-CN"/>
        </w:rPr>
        <w:t xml:space="preserve">: For event A3/A5 triggering reporting configured on SCC, is it </w:t>
      </w:r>
      <w:r w:rsidRPr="004D516D">
        <w:rPr>
          <w:rFonts w:eastAsiaTheme="minorEastAsia" w:cs="Arial"/>
          <w:lang w:eastAsia="zh-CN"/>
        </w:rPr>
        <w:t>compulsory</w:t>
      </w:r>
      <w:r>
        <w:rPr>
          <w:rFonts w:eastAsiaTheme="minorEastAsia" w:cs="Arial"/>
          <w:lang w:eastAsia="zh-CN"/>
        </w:rPr>
        <w:t xml:space="preserve"> to configure</w:t>
      </w:r>
      <w:r>
        <w:t xml:space="preserve"> </w:t>
      </w:r>
      <w:r w:rsidRPr="00B53FB2">
        <w:rPr>
          <w:i/>
          <w:iCs/>
        </w:rPr>
        <w:t>servingCellMO</w:t>
      </w:r>
      <w:r>
        <w:t xml:space="preserve"> for</w:t>
      </w:r>
      <w:r w:rsidRPr="00C36BDB">
        <w:t xml:space="preserve"> SCell in order to enable UE </w:t>
      </w:r>
      <w:r>
        <w:t>considering SCell to be a neighbouring cell as well?</w:t>
      </w:r>
    </w:p>
    <w:p w14:paraId="46DB4EE6" w14:textId="77777777" w:rsidR="001D3A30" w:rsidRDefault="001D3A30" w:rsidP="001D3A30">
      <w:pPr>
        <w:pStyle w:val="Header"/>
        <w:jc w:val="both"/>
        <w:rPr>
          <w:rFonts w:cs="Arial"/>
          <w:lang w:val="en-US"/>
        </w:rPr>
      </w:pPr>
      <w:r>
        <w:rPr>
          <w:rFonts w:cs="Arial"/>
          <w:lang w:val="en-US"/>
        </w:rPr>
        <w:t>Answer: Yes. F</w:t>
      </w:r>
      <w:r w:rsidRPr="007A1350">
        <w:rPr>
          <w:rFonts w:cs="Arial"/>
          <w:lang w:val="en-US"/>
        </w:rPr>
        <w:t xml:space="preserve">or event A3/A5 triggering reporting configured on SCC, it is compulsory to configure </w:t>
      </w:r>
      <w:r w:rsidRPr="007A1350">
        <w:rPr>
          <w:rFonts w:cs="Arial"/>
          <w:i/>
          <w:lang w:val="en-US"/>
        </w:rPr>
        <w:t>servingCellMO</w:t>
      </w:r>
      <w:r w:rsidRPr="007A1350">
        <w:rPr>
          <w:rFonts w:cs="Arial"/>
          <w:lang w:val="en-US"/>
        </w:rPr>
        <w:t xml:space="preserve"> for SCell in order to enable UE considering SCell to be a neighbouring cell.</w:t>
      </w:r>
    </w:p>
    <w:p w14:paraId="666EB1E2" w14:textId="77777777" w:rsidR="001D3A30" w:rsidRDefault="001D3A30" w:rsidP="001D3A30">
      <w:pPr>
        <w:pStyle w:val="Header"/>
        <w:jc w:val="both"/>
        <w:rPr>
          <w:rFonts w:cs="Arial"/>
          <w:lang w:val="en-US"/>
        </w:rPr>
      </w:pPr>
    </w:p>
    <w:p w14:paraId="3FAB0D42" w14:textId="77777777" w:rsidR="001D3A30" w:rsidRPr="00C84BE3" w:rsidRDefault="001D3A30" w:rsidP="001D3A30">
      <w:pPr>
        <w:pStyle w:val="Header"/>
        <w:jc w:val="both"/>
        <w:rPr>
          <w:rFonts w:cs="Arial"/>
          <w:lang w:val="en-US"/>
        </w:rPr>
      </w:pPr>
    </w:p>
    <w:p w14:paraId="202874DF" w14:textId="77777777" w:rsidR="001D3A30" w:rsidRPr="00BE6EC6" w:rsidRDefault="001D3A30" w:rsidP="001D3A30">
      <w:pPr>
        <w:spacing w:after="120"/>
        <w:rPr>
          <w:rFonts w:ascii="Arial" w:hAnsi="Arial" w:cs="Arial"/>
          <w:b/>
        </w:rPr>
      </w:pPr>
      <w:r w:rsidRPr="00BE6EC6">
        <w:rPr>
          <w:rFonts w:ascii="Arial" w:hAnsi="Arial" w:cs="Arial"/>
          <w:b/>
        </w:rPr>
        <w:t>2. Actions:</w:t>
      </w:r>
    </w:p>
    <w:p w14:paraId="4B1844F6" w14:textId="77777777" w:rsidR="001D3A30" w:rsidRPr="00BE6EC6" w:rsidRDefault="001D3A30" w:rsidP="001D3A30">
      <w:pPr>
        <w:pStyle w:val="Header"/>
        <w:tabs>
          <w:tab w:val="left" w:pos="1440"/>
          <w:tab w:val="left" w:pos="2160"/>
        </w:tabs>
        <w:rPr>
          <w:rFonts w:cs="Arial"/>
        </w:rPr>
      </w:pPr>
      <w:r w:rsidRPr="00BE6EC6">
        <w:rPr>
          <w:rFonts w:cs="Arial"/>
        </w:rPr>
        <w:t xml:space="preserve">ACTION: </w:t>
      </w:r>
      <w:r w:rsidRPr="00BE6EC6">
        <w:rPr>
          <w:rFonts w:cs="Arial"/>
        </w:rPr>
        <w:tab/>
        <w:t>RAN2 respectfully ask</w:t>
      </w:r>
      <w:r>
        <w:rPr>
          <w:rFonts w:cs="Arial"/>
        </w:rPr>
        <w:t>s RAN5</w:t>
      </w:r>
      <w:r w:rsidRPr="00BE6EC6">
        <w:rPr>
          <w:rFonts w:cs="Arial"/>
        </w:rPr>
        <w:t xml:space="preserve"> to </w:t>
      </w:r>
      <w:r w:rsidRPr="00620E8F">
        <w:rPr>
          <w:rFonts w:cs="Arial"/>
        </w:rPr>
        <w:t xml:space="preserve">take </w:t>
      </w:r>
      <w:r>
        <w:rPr>
          <w:rFonts w:cs="Arial"/>
        </w:rPr>
        <w:t>above RAN2</w:t>
      </w:r>
      <w:r w:rsidRPr="00620E8F">
        <w:rPr>
          <w:rFonts w:cs="Arial"/>
        </w:rPr>
        <w:t xml:space="preserve"> conclusion</w:t>
      </w:r>
      <w:r>
        <w:rPr>
          <w:rFonts w:cs="Arial"/>
        </w:rPr>
        <w:t>s</w:t>
      </w:r>
      <w:r w:rsidRPr="00620E8F">
        <w:rPr>
          <w:rFonts w:cs="Arial"/>
        </w:rPr>
        <w:t xml:space="preserve"> into consideration</w:t>
      </w:r>
      <w:r>
        <w:rPr>
          <w:rFonts w:cs="Arial"/>
        </w:rPr>
        <w:t>.</w:t>
      </w:r>
    </w:p>
    <w:p w14:paraId="7D1A62D0" w14:textId="77777777" w:rsidR="001D3A30" w:rsidRPr="00BE6EC6" w:rsidRDefault="001D3A30" w:rsidP="001D3A30">
      <w:pPr>
        <w:pStyle w:val="Header"/>
        <w:tabs>
          <w:tab w:val="left" w:pos="1440"/>
          <w:tab w:val="left" w:pos="2160"/>
        </w:tabs>
        <w:rPr>
          <w:rFonts w:cs="Arial"/>
        </w:rPr>
      </w:pPr>
    </w:p>
    <w:p w14:paraId="784DB068" w14:textId="77777777" w:rsidR="001D3A30" w:rsidRPr="00BE6EC6" w:rsidRDefault="001D3A30" w:rsidP="001D3A30">
      <w:pPr>
        <w:pStyle w:val="Header"/>
        <w:tabs>
          <w:tab w:val="left" w:pos="1440"/>
          <w:tab w:val="left" w:pos="2160"/>
        </w:tabs>
        <w:rPr>
          <w:rFonts w:cs="Arial"/>
        </w:rPr>
      </w:pPr>
    </w:p>
    <w:p w14:paraId="577586E2" w14:textId="77777777" w:rsidR="001D3A30" w:rsidRPr="00BE6EC6" w:rsidRDefault="001D3A30" w:rsidP="001D3A30">
      <w:pPr>
        <w:spacing w:after="120"/>
        <w:ind w:left="1985" w:hanging="1985"/>
        <w:rPr>
          <w:rFonts w:ascii="Arial" w:hAnsi="Arial" w:cs="Arial"/>
          <w:b/>
          <w:bCs/>
        </w:rPr>
      </w:pPr>
      <w:r w:rsidRPr="00BE6EC6">
        <w:rPr>
          <w:rFonts w:ascii="Arial" w:hAnsi="Arial" w:cs="Arial"/>
          <w:b/>
          <w:bCs/>
        </w:rPr>
        <w:t>3. References:</w:t>
      </w:r>
    </w:p>
    <w:p w14:paraId="52C464BE" w14:textId="77777777" w:rsidR="001D3A30" w:rsidRDefault="001D3A30" w:rsidP="001D3A30">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Pr="004A2543">
        <w:rPr>
          <w:rFonts w:ascii="Arial" w:hAnsi="Arial" w:cs="Arial"/>
          <w:lang w:eastAsia="ko-KR"/>
        </w:rPr>
        <w:t>R2-2109370</w:t>
      </w:r>
      <w:r>
        <w:rPr>
          <w:rFonts w:ascii="Arial" w:hAnsi="Arial" w:cs="Arial"/>
          <w:lang w:eastAsia="ko-KR"/>
        </w:rPr>
        <w:t>/</w:t>
      </w:r>
      <w:r w:rsidRPr="004A2543">
        <w:t xml:space="preserve"> </w:t>
      </w:r>
      <w:r w:rsidRPr="004A2543">
        <w:rPr>
          <w:rFonts w:ascii="Arial" w:hAnsi="Arial" w:cs="Arial"/>
          <w:lang w:eastAsia="ko-KR"/>
        </w:rPr>
        <w:t>R5-215762</w:t>
      </w:r>
      <w:r>
        <w:rPr>
          <w:rFonts w:ascii="Arial" w:hAnsi="Arial" w:cs="Arial"/>
          <w:lang w:eastAsia="ko-KR"/>
        </w:rPr>
        <w:t>, “</w:t>
      </w:r>
      <w:r w:rsidRPr="004A2543">
        <w:rPr>
          <w:rFonts w:ascii="Arial" w:hAnsi="Arial" w:cs="Arial"/>
          <w:lang w:eastAsia="ko-KR"/>
        </w:rPr>
        <w:t>Association between serving cell and measurement object</w:t>
      </w:r>
      <w:r>
        <w:rPr>
          <w:rFonts w:ascii="Arial" w:hAnsi="Arial" w:cs="Arial"/>
          <w:lang w:eastAsia="ko-KR"/>
        </w:rPr>
        <w:t>”, RAN5</w:t>
      </w:r>
    </w:p>
    <w:p w14:paraId="5359A24A" w14:textId="77777777" w:rsidR="001D3A30" w:rsidRPr="00BE6EC6" w:rsidRDefault="001D3A30" w:rsidP="001D3A30">
      <w:pPr>
        <w:pStyle w:val="Header"/>
        <w:tabs>
          <w:tab w:val="left" w:pos="1440"/>
          <w:tab w:val="left" w:pos="2160"/>
        </w:tabs>
        <w:rPr>
          <w:rFonts w:cs="Arial"/>
        </w:rPr>
      </w:pPr>
    </w:p>
    <w:p w14:paraId="30B3E5D9" w14:textId="77777777" w:rsidR="001D3A30" w:rsidRPr="00BE6EC6" w:rsidRDefault="001D3A30" w:rsidP="001D3A30">
      <w:pPr>
        <w:spacing w:after="120"/>
        <w:rPr>
          <w:rFonts w:ascii="Arial" w:hAnsi="Arial" w:cs="Arial"/>
          <w:b/>
        </w:rPr>
      </w:pPr>
      <w:r w:rsidRPr="00BE6EC6">
        <w:rPr>
          <w:rFonts w:ascii="Arial" w:hAnsi="Arial" w:cs="Arial"/>
          <w:b/>
        </w:rPr>
        <w:t>4. Date of Next RAN2 Meetings:</w:t>
      </w:r>
    </w:p>
    <w:p w14:paraId="00857E11" w14:textId="77777777" w:rsidR="001D3A30" w:rsidRDefault="001D3A30" w:rsidP="001D3A30">
      <w:pPr>
        <w:spacing w:after="120"/>
        <w:ind w:left="1985" w:hanging="1985"/>
        <w:rPr>
          <w:rFonts w:ascii="Arial" w:hAnsi="Arial" w:cs="Arial"/>
          <w:bCs/>
        </w:rPr>
      </w:pPr>
      <w:r w:rsidRPr="00BE6EC6">
        <w:rPr>
          <w:rFonts w:ascii="Arial" w:hAnsi="Arial" w:cs="Arial"/>
          <w:bCs/>
        </w:rPr>
        <w:t>RAN2#</w:t>
      </w:r>
      <w:r>
        <w:rPr>
          <w:rFonts w:ascii="Arial" w:hAnsi="Arial" w:cs="Arial"/>
          <w:bCs/>
        </w:rPr>
        <w:t>116bis-e, eMeeting</w:t>
      </w:r>
      <w:r w:rsidRPr="00BE6EC6">
        <w:rPr>
          <w:rFonts w:ascii="Arial" w:hAnsi="Arial" w:cs="Arial"/>
          <w:bCs/>
        </w:rPr>
        <w:t xml:space="preserve">, </w:t>
      </w:r>
      <w:r>
        <w:rPr>
          <w:rFonts w:ascii="Arial" w:hAnsi="Arial" w:cs="Arial"/>
          <w:bCs/>
        </w:rPr>
        <w:t>17-25 Jan. 2022</w:t>
      </w:r>
    </w:p>
    <w:p w14:paraId="1C42098D" w14:textId="77777777" w:rsidR="001D3A30" w:rsidRPr="00FF76A7" w:rsidRDefault="001D3A30" w:rsidP="001D3A30">
      <w:pPr>
        <w:spacing w:after="120"/>
        <w:ind w:left="1985" w:hanging="1985"/>
        <w:rPr>
          <w:rFonts w:ascii="Arial" w:hAnsi="Arial" w:cs="Arial"/>
          <w:bCs/>
        </w:rPr>
      </w:pPr>
      <w:r>
        <w:rPr>
          <w:rFonts w:ascii="Arial" w:hAnsi="Arial" w:cs="Arial"/>
          <w:bCs/>
        </w:rPr>
        <w:t>RAN2#117-e, eMeeting</w:t>
      </w:r>
      <w:r w:rsidRPr="00BE6EC6">
        <w:rPr>
          <w:rFonts w:ascii="Arial" w:hAnsi="Arial" w:cs="Arial"/>
          <w:bCs/>
        </w:rPr>
        <w:t xml:space="preserve">, </w:t>
      </w:r>
      <w:r>
        <w:rPr>
          <w:rFonts w:ascii="Arial" w:hAnsi="Arial" w:cs="Arial"/>
          <w:bCs/>
        </w:rPr>
        <w:t>21 Feb. to 03 Mar. 2022</w:t>
      </w:r>
    </w:p>
    <w:p w14:paraId="456CC9D8" w14:textId="77777777" w:rsidR="00452A01" w:rsidRDefault="00452A01">
      <w:pPr>
        <w:spacing w:after="0"/>
        <w:rPr>
          <w:rFonts w:ascii="Arial" w:hAnsi="Arial" w:cs="Arial"/>
          <w:lang w:eastAsia="ko-KR"/>
        </w:rPr>
      </w:pPr>
    </w:p>
    <w:sectPr w:rsidR="00452A01" w:rsidSect="00884187">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46F8F" w14:textId="77777777" w:rsidR="00101775" w:rsidRDefault="00101775">
      <w:r>
        <w:separator/>
      </w:r>
    </w:p>
  </w:endnote>
  <w:endnote w:type="continuationSeparator" w:id="0">
    <w:p w14:paraId="15684E6F" w14:textId="77777777" w:rsidR="00101775" w:rsidRDefault="0010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D18BC" w14:textId="77777777" w:rsidR="00101775" w:rsidRDefault="00101775">
      <w:r>
        <w:separator/>
      </w:r>
    </w:p>
  </w:footnote>
  <w:footnote w:type="continuationSeparator" w:id="0">
    <w:p w14:paraId="712B7BE3" w14:textId="77777777" w:rsidR="00101775" w:rsidRDefault="00101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775"/>
    <w:rsid w:val="001018A3"/>
    <w:rsid w:val="00101D78"/>
    <w:rsid w:val="001027A0"/>
    <w:rsid w:val="00102E7D"/>
    <w:rsid w:val="0010323E"/>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0F57"/>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A30"/>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F6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A01"/>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543"/>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194"/>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082"/>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413"/>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6BF2"/>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867"/>
    <w:rsid w:val="00857C37"/>
    <w:rsid w:val="00857D74"/>
    <w:rsid w:val="008600E8"/>
    <w:rsid w:val="008617DE"/>
    <w:rsid w:val="00861C41"/>
    <w:rsid w:val="008626E7"/>
    <w:rsid w:val="00863E2B"/>
    <w:rsid w:val="008643D0"/>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3F7"/>
    <w:rsid w:val="008832C0"/>
    <w:rsid w:val="0088373C"/>
    <w:rsid w:val="00883960"/>
    <w:rsid w:val="00884187"/>
    <w:rsid w:val="008846BF"/>
    <w:rsid w:val="00884B03"/>
    <w:rsid w:val="00884B22"/>
    <w:rsid w:val="008866C3"/>
    <w:rsid w:val="00886E61"/>
    <w:rsid w:val="0088700B"/>
    <w:rsid w:val="008874DF"/>
    <w:rsid w:val="0088766D"/>
    <w:rsid w:val="00887CEB"/>
    <w:rsid w:val="0089067E"/>
    <w:rsid w:val="0089084A"/>
    <w:rsid w:val="008909CA"/>
    <w:rsid w:val="00890A08"/>
    <w:rsid w:val="00890E2B"/>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5D4"/>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4244"/>
    <w:rsid w:val="00BA5850"/>
    <w:rsid w:val="00BA690A"/>
    <w:rsid w:val="00BA6E2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BBA"/>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5451"/>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4DD"/>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B1"/>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FA400-8981-47E5-8E1D-FD2DBEB2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34</cp:revision>
  <dcterms:created xsi:type="dcterms:W3CDTF">2017-04-13T02:23:00Z</dcterms:created>
  <dcterms:modified xsi:type="dcterms:W3CDTF">2021-10-22T05:46:00Z</dcterms:modified>
</cp:coreProperties>
</file>